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819" w:rsidRDefault="00D5781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57819" w:rsidRDefault="00D57819">
      <w:pPr>
        <w:pStyle w:val="ConsPlusNormal"/>
        <w:jc w:val="both"/>
        <w:outlineLvl w:val="0"/>
      </w:pPr>
    </w:p>
    <w:p w:rsidR="00D57819" w:rsidRDefault="00D57819">
      <w:pPr>
        <w:pStyle w:val="ConsPlusNormal"/>
        <w:outlineLvl w:val="0"/>
      </w:pPr>
      <w:r>
        <w:t>Зарегистрировано в Минюсте России 19 октября 2020 г. N 60453</w:t>
      </w:r>
    </w:p>
    <w:p w:rsidR="00D57819" w:rsidRDefault="00D578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Title"/>
        <w:jc w:val="center"/>
      </w:pPr>
      <w:r>
        <w:t>МИНИСТЕРСТВО СЕЛЬСКОГО ХОЗЯЙСТВА РОСС</w:t>
      </w:r>
      <w:bookmarkStart w:id="0" w:name="_GoBack"/>
      <w:bookmarkEnd w:id="0"/>
      <w:r>
        <w:t>ИЙСКОЙ ФЕДЕРАЦИИ</w:t>
      </w:r>
    </w:p>
    <w:p w:rsidR="00D57819" w:rsidRDefault="00D57819">
      <w:pPr>
        <w:pStyle w:val="ConsPlusTitle"/>
        <w:jc w:val="center"/>
      </w:pPr>
    </w:p>
    <w:p w:rsidR="00D57819" w:rsidRDefault="00D57819">
      <w:pPr>
        <w:pStyle w:val="ConsPlusTitle"/>
        <w:jc w:val="center"/>
      </w:pPr>
      <w:r>
        <w:t>ПРИКАЗ</w:t>
      </w:r>
    </w:p>
    <w:p w:rsidR="00D57819" w:rsidRDefault="00D57819">
      <w:pPr>
        <w:pStyle w:val="ConsPlusTitle"/>
        <w:jc w:val="center"/>
      </w:pPr>
      <w:r>
        <w:t>от 21 сентября 2020 г. N 555</w:t>
      </w:r>
    </w:p>
    <w:p w:rsidR="00D57819" w:rsidRDefault="00D57819">
      <w:pPr>
        <w:pStyle w:val="ConsPlusTitle"/>
        <w:jc w:val="center"/>
      </w:pPr>
    </w:p>
    <w:p w:rsidR="00D57819" w:rsidRDefault="00D57819">
      <w:pPr>
        <w:pStyle w:val="ConsPlusTitle"/>
        <w:jc w:val="center"/>
      </w:pPr>
      <w:r>
        <w:t>ОБ УТВЕРЖДЕНИИ ПРАВИЛ</w:t>
      </w:r>
    </w:p>
    <w:p w:rsidR="00D57819" w:rsidRDefault="00D57819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D57819" w:rsidRDefault="00D57819">
      <w:pPr>
        <w:pStyle w:val="ConsPlusTitle"/>
        <w:jc w:val="center"/>
      </w:pPr>
      <w:r>
        <w:t>ДЛЯ ВЕТЕРИНАРНОГО ПРИМЕНЕНИЯ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 xml:space="preserve">В целях реализации </w:t>
      </w:r>
      <w:hyperlink r:id="rId5" w:history="1">
        <w:r>
          <w:rPr>
            <w:color w:val="0000FF"/>
          </w:rPr>
          <w:t>пункта 18 статьи 5</w:t>
        </w:r>
      </w:hyperlink>
      <w:r>
        <w:t xml:space="preserve"> и </w:t>
      </w:r>
      <w:hyperlink r:id="rId6" w:history="1">
        <w:r>
          <w:rPr>
            <w:color w:val="0000FF"/>
          </w:rPr>
          <w:t>части 1 статьи 55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2014, N 52, ст. 7540) и в соответствии с </w:t>
      </w:r>
      <w:hyperlink r:id="rId7" w:history="1">
        <w:r>
          <w:rPr>
            <w:color w:val="0000FF"/>
          </w:rPr>
          <w:t>подпунктом 5.2.25(100) пункта 5</w:t>
        </w:r>
      </w:hyperlink>
      <w:r>
        <w:t xml:space="preserve"> Положения о Министерстве сельского хозяйства Российской Федерации, утвержденного постановлением Правительства Российской Федерации от 12 июня 2008 г. N 450 (Собрание законодательства Российской Федерации, 2008, N 25, ст. 2983; 2015, N 38, ст. 5297), приказываю: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 w:history="1">
        <w:r>
          <w:rPr>
            <w:color w:val="0000FF"/>
          </w:rPr>
          <w:t>Правила</w:t>
        </w:r>
      </w:hyperlink>
      <w:r>
        <w:t xml:space="preserve"> надлежащей аптечной практики лекарственных препаратов для ветеринарного применения.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2. Настоящий приказ вступает в силу с 1 марта 2021 г., за исключением </w:t>
      </w:r>
      <w:hyperlink w:anchor="P51" w:history="1">
        <w:r>
          <w:rPr>
            <w:color w:val="0000FF"/>
          </w:rPr>
          <w:t>подпункта "в" пункта 5</w:t>
        </w:r>
      </w:hyperlink>
      <w:r>
        <w:t xml:space="preserve">, </w:t>
      </w:r>
      <w:hyperlink w:anchor="P82" w:history="1">
        <w:r>
          <w:rPr>
            <w:color w:val="0000FF"/>
          </w:rPr>
          <w:t>пунктов 15</w:t>
        </w:r>
      </w:hyperlink>
      <w:r>
        <w:t xml:space="preserve"> - </w:t>
      </w:r>
      <w:hyperlink w:anchor="P111" w:history="1">
        <w:r>
          <w:rPr>
            <w:color w:val="0000FF"/>
          </w:rPr>
          <w:t>19</w:t>
        </w:r>
      </w:hyperlink>
      <w:r>
        <w:t xml:space="preserve">, </w:t>
      </w:r>
      <w:hyperlink w:anchor="P134" w:history="1">
        <w:r>
          <w:rPr>
            <w:color w:val="0000FF"/>
          </w:rPr>
          <w:t>26</w:t>
        </w:r>
      </w:hyperlink>
      <w:r>
        <w:t xml:space="preserve">, </w:t>
      </w:r>
      <w:hyperlink w:anchor="P141" w:history="1">
        <w:r>
          <w:rPr>
            <w:color w:val="0000FF"/>
          </w:rPr>
          <w:t>27</w:t>
        </w:r>
      </w:hyperlink>
      <w:r>
        <w:t xml:space="preserve"> Правил надлежащей аптечной практики лекарственных препаратов для ветеринарного применения, утвержденных настоящим приказом.</w:t>
      </w:r>
    </w:p>
    <w:p w:rsidR="00D57819" w:rsidRDefault="00D57819">
      <w:pPr>
        <w:pStyle w:val="ConsPlusNormal"/>
        <w:spacing w:before="220"/>
        <w:ind w:firstLine="540"/>
        <w:jc w:val="both"/>
      </w:pPr>
      <w:bookmarkStart w:id="1" w:name="P16"/>
      <w:bookmarkEnd w:id="1"/>
      <w:r>
        <w:t xml:space="preserve">3. </w:t>
      </w:r>
      <w:hyperlink w:anchor="P51" w:history="1">
        <w:r>
          <w:rPr>
            <w:color w:val="0000FF"/>
          </w:rPr>
          <w:t>Подпункт "в" пункта 5</w:t>
        </w:r>
      </w:hyperlink>
      <w:r>
        <w:t xml:space="preserve">, </w:t>
      </w:r>
      <w:hyperlink w:anchor="P82" w:history="1">
        <w:r>
          <w:rPr>
            <w:color w:val="0000FF"/>
          </w:rPr>
          <w:t>пункты 15</w:t>
        </w:r>
      </w:hyperlink>
      <w:r>
        <w:t xml:space="preserve"> - </w:t>
      </w:r>
      <w:hyperlink w:anchor="P111" w:history="1">
        <w:r>
          <w:rPr>
            <w:color w:val="0000FF"/>
          </w:rPr>
          <w:t>19</w:t>
        </w:r>
      </w:hyperlink>
      <w:r>
        <w:t xml:space="preserve">, </w:t>
      </w:r>
      <w:hyperlink w:anchor="P134" w:history="1">
        <w:r>
          <w:rPr>
            <w:color w:val="0000FF"/>
          </w:rPr>
          <w:t>26</w:t>
        </w:r>
      </w:hyperlink>
      <w:r>
        <w:t xml:space="preserve">, </w:t>
      </w:r>
      <w:hyperlink w:anchor="P141" w:history="1">
        <w:r>
          <w:rPr>
            <w:color w:val="0000FF"/>
          </w:rPr>
          <w:t>27</w:t>
        </w:r>
      </w:hyperlink>
      <w:r>
        <w:t xml:space="preserve"> Правил надлежащей аптечной практики лекарственных препаратов для ветеринарного применения, утвержденных настоящим приказом, вступают в силу с 1 марта 2022 г.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4. Настоящий приказ действует до 1 марта 2027 г.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right"/>
      </w:pPr>
      <w:r>
        <w:t>Министр</w:t>
      </w:r>
    </w:p>
    <w:p w:rsidR="00D57819" w:rsidRDefault="00D57819">
      <w:pPr>
        <w:pStyle w:val="ConsPlusNormal"/>
        <w:jc w:val="right"/>
      </w:pPr>
      <w:r>
        <w:t>Д.Н.ПАТРУШЕВ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right"/>
        <w:outlineLvl w:val="0"/>
      </w:pPr>
      <w:r>
        <w:t>Утверждены</w:t>
      </w:r>
    </w:p>
    <w:p w:rsidR="00D57819" w:rsidRDefault="00D57819">
      <w:pPr>
        <w:pStyle w:val="ConsPlusNormal"/>
        <w:jc w:val="right"/>
      </w:pPr>
      <w:r>
        <w:t>приказом Минсельхоза России</w:t>
      </w:r>
    </w:p>
    <w:p w:rsidR="00D57819" w:rsidRDefault="00D57819">
      <w:pPr>
        <w:pStyle w:val="ConsPlusNormal"/>
        <w:jc w:val="right"/>
      </w:pPr>
      <w:r>
        <w:t>от 21.09.2020 г. N 555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Title"/>
        <w:jc w:val="center"/>
      </w:pPr>
      <w:bookmarkStart w:id="2" w:name="P30"/>
      <w:bookmarkEnd w:id="2"/>
      <w:r>
        <w:t>ПРАВИЛА</w:t>
      </w:r>
    </w:p>
    <w:p w:rsidR="00D57819" w:rsidRDefault="00D57819">
      <w:pPr>
        <w:pStyle w:val="ConsPlusTitle"/>
        <w:jc w:val="center"/>
      </w:pPr>
      <w:r>
        <w:t>НАДЛЕЖАЩЕЙ АПТЕЧНОЙ ПРАКТИКИ ЛЕКАРСТВЕННЫХ ПРЕПАРАТОВ</w:t>
      </w:r>
    </w:p>
    <w:p w:rsidR="00D57819" w:rsidRDefault="00D57819">
      <w:pPr>
        <w:pStyle w:val="ConsPlusTitle"/>
        <w:jc w:val="center"/>
      </w:pPr>
      <w:r>
        <w:t>ДЛЯ ВЕТЕРИНАРНОГО ПРИМЕНЕНИЯ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Title"/>
        <w:jc w:val="center"/>
        <w:outlineLvl w:val="1"/>
      </w:pPr>
      <w:r>
        <w:t>I. Общие положения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 xml:space="preserve">1. Настоящие Правила устанавливают требования к реализации лекарственных препаратов потребителям, в том числе их отпуску по рецепту на лекарственный препарат (далее - рецепт) или без рецепта, а также к хранению в целях реализации потребителям (далее - розничная торговля) </w:t>
      </w:r>
      <w:r>
        <w:lastRenderedPageBreak/>
        <w:t>лекарственных препаратов для ветеринарного применения (далее - лекарственные препараты) ветеринарными аптечными организациями, индивидуальными предпринимателями и ветеринарными организациями, имеющими лицензию на осуществление фармацевтической деятельности в сфере обращения лекарственных средств для ветеринарного применения (далее - субъект розничной торговли).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2. При розничной торговле лекарственными препаратами субъектом розничной торговли потребителям должны предоставляться качественные, эффективные и безопасные лекарственные препараты, и по просьбе потребителя должна предоставляться информация о способах применения лекарственных препаратов.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Title"/>
        <w:jc w:val="center"/>
        <w:outlineLvl w:val="1"/>
      </w:pPr>
      <w:r>
        <w:t>II. Требования к обеспечению деятельности субъекта</w:t>
      </w:r>
    </w:p>
    <w:p w:rsidR="00D57819" w:rsidRDefault="00D57819">
      <w:pPr>
        <w:pStyle w:val="ConsPlusTitle"/>
        <w:jc w:val="center"/>
      </w:pPr>
      <w:r>
        <w:t>розничной торговли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>3. Субъектом розничной торговли должны поддерживаться в рабочем состоянии: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здания, помещения, места, отведенные для осуществления розничной торговли и связанные с ними средства труда;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оборудование для производственных процессов (технические, программные средства).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4. Средства измерения, которые используются субъектом розничной торговли, должны проходить метрологическую поверку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26 июня 2008 г. N 102-ФЗ "Об обеспечении единства измерений" (Собрание законодательства Российской Федерации, 2008, N 26, ст. 3021; 2019, N 52, ст. 7814).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5. Руководитель субъекта розничной торговли должен обеспечивать: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а) соблюдение установленных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лицензировании фармацевтической деятельности, утвержденным постановлением Правительства Российской Федерации от 22 декабря 2011 г. N 1081 (Собрание законодательства Российской Федерации, 2012, N 1, ст. 126; 2020, N 21, ст. 3269), требований к квалификации, стажу работы и повышению квалификации руководителя субъекта розничной торговли и его работников, деятельность которых непосредственно связана с розничной торговлей лекарственными препаратами (далее - аптечные работники);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осуществление закупок лекарственных препаратов, не допускающее умышленное распространение фальсифицированных, недоброкачественных, контрафактных лекарственных препаратов;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Пп. "в" п. 5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bookmarkStart w:id="3" w:name="P51"/>
      <w:bookmarkEnd w:id="3"/>
      <w:r>
        <w:t xml:space="preserve">в) ведение внутренней технической документации (далее - стандартные операционные процедуры) в соответствии с </w:t>
      </w:r>
      <w:hyperlink w:anchor="P82" w:history="1">
        <w:r>
          <w:rPr>
            <w:color w:val="0000FF"/>
          </w:rPr>
          <w:t>пунктом 15</w:t>
        </w:r>
      </w:hyperlink>
      <w:r>
        <w:t xml:space="preserve"> настоящих Правил;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наличие оборудования, помещений и документации, подтверждающей соблюдение субъектом розничной торговли требований, установленных законодательством Российской Федерации о лицензировании отдельных видов деятельности;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д) информирование аптечных работников об изменениях ветеринарного законодательства Российской Федерации и законодательства Российской Федерации об обращении лекарственных средств;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е) мониторинг информации, касающейся приостановления (возобновления) реализации </w:t>
      </w:r>
      <w:r>
        <w:lastRenderedPageBreak/>
        <w:t>лекарственных препаратов, отзыва (изъятия) из обращения лекарственных препаратов, выявления случаев обращения незарегистрированных лекарственных препаратов, а также иных документов, в том числе по вопросам выявления фальсифицированных, контрафактных и недоброкачественных лекарственных препаратов, размещенных на официальном сайте Россельхознадзора в информационно-телекоммуникационной сети "Интернет".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6. Для вновь принятых аптечных работников руководитель субъекта розничной торговли (либо уполномоченное им лицо) должен проводить инструктаж по вопросам: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соблюдения требований ветеринарного законодательства Российской Федерации и законодательства Российской Федерации об обращении лекарственных средств, включая требования к розничной торговле лекарственными препаратами;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предоставления по требованию потребителя информации о взаимозаменяемых лекарственных препаратах, их стоимости и наличии, о новых лекарственных препаратах, лекарственных формах лекарственных препаратов, показаниях к применению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предоставления доступа потребителю по его требованию к информации, содержащейся в инструкции по ветеринарному применению лекарственного препарата;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направления в Россельхознадзор информации, полученной от потребителей, касающейся применения лекарственных препаратов, а также о выявленных в процессе их применения побочных действиях, нежелательных реакциях, серьезных нежелательных реакциях, непредвиденных нежелательных реакциях, индивидуальной непереносимости, отсутствии эффективности лекарственных препаратов, а также об иных фактах и обстоятельствах, представляющих угрозу жизни или здоровью животного.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7. Субъектом розничной торговли должно быть обеспечено соблюдение правил хранения лекарственных средств, утверждаемых Минсельхозом России в соответствии со </w:t>
      </w:r>
      <w:hyperlink r:id="rId10" w:history="1">
        <w:r>
          <w:rPr>
            <w:color w:val="0000FF"/>
          </w:rPr>
          <w:t>статьей 58</w:t>
        </w:r>
      </w:hyperlink>
      <w:r>
        <w:t xml:space="preserve"> Федерального закона от 12 апреля 2010 г. N 61-ФЗ "Об обращении лекарственных средств".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8. В помещениях, используемых субъектами розничной торговли, должны быть выделены зоны и (или) комнаты, предназначенные для: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торговли лекарственными препаратами;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приемки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хранения лекарственных препаратов с истекшим сроком годности, в поврежденной упаковке, недоброкачественных, фальсифицированных или контрафактных лекарственных препаратов (в случае если руководителем субъекта розничной торговли не принято решение о хранении таких лекарственных препаратов в отдельном контейнере);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хранения одежды работников и хозяйственных материалов, инвентаря, моющих, чистящих и дезинфицирующих средств для уборки и обработки помещений и оборудования.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9. Доступ потребителей к лекарственным препаратам допускается только при розничной торговле лекарственными препаратами, отпускаемыми без рецепта.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Зона доступа к лекарственным препаратам должна быть оборудована витринами, стеллажами, обеспечивающими возможность обзора лекарственных препаратов, реализуемых субъектом розничной торговли.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10. Лекарственные препараты, отпускаемые без рецепта, размещаются на витринах (стеллажах) с учетом условий хранения, предусмотренных инструкциями по ветеринарному </w:t>
      </w:r>
      <w:r>
        <w:lastRenderedPageBreak/>
        <w:t>применению лекарственных препаратов и (или) на упаковках лекарственных препаратов.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Лекарственные препараты, отпускаемые по рецепту, размещаются аптечным работником в закрытых витринах и стеклянных шкафах с учетом условий хранения, предусмотренных инструкциями по ветеринарному применению лекарственных препаратов и (или) на упаковках лекарственных препаратов.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11. Лекарственные препараты, отпускаемые по рецепту, размещаются отдельно от лекарственных препаратов, отпускаемых без рецепта, с отметкой "по рецепту на лекарственный препарат", нанесенной на полку или шкаф, в которых размещены такие лекарственные препараты.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12. Лекарственные препараты, в том числе в зоне доступа, должны размещаться отдельно от других товаров, реализуемых субъектом розничной торговли.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13. Информация о наименовании и стоимости лекарственного препарата за единицу товара размещается на ценнике лекарственного препарата.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14. Руководителем субъекта розничной торговли должно быть обеспечено ведение на бумажном носителе или в электронном виде: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документов, содержащих сведения о структуре и кадровом составе субъекта розничной торговли, включая приказы и распоряжения, сведения о количестве штатных единиц, а также должностных инструкций с отметкой об ознакомлении с ними работников;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документов, содержащих информацию о соблюдении субъектом розничной торговли требований законодательства Российской Федерации при осуществлении государственного контроля (надзора), муниципального контроля (акты проверок субъекта розничной торговли должностными лицами органов государственного контроля (надзора), органов муниципального контроля);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журнала учета рецептов.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Title"/>
        <w:jc w:val="center"/>
        <w:outlineLvl w:val="1"/>
      </w:pPr>
      <w:r>
        <w:t>III. Процессы деятельности субъекта розничной торговли</w:t>
      </w:r>
    </w:p>
    <w:p w:rsidR="00D57819" w:rsidRDefault="00D57819">
      <w:pPr>
        <w:pStyle w:val="ConsPlusNormal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15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bookmarkStart w:id="4" w:name="P82"/>
      <w:bookmarkEnd w:id="4"/>
      <w:r>
        <w:t>15. Субъектом розничной торговли должны быть утверждены стандартные операционные процедуры, описывающие порядок осуществления и учета следующих действий: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выбора организации, осуществляющей поставку лекарственных препаратов (далее - поставщик);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приемки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изъятия из обращения фальсифицированных, недоброкачественных, контрафактных лекарственных препаратов и уничтожения таких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рассмотрения жалоб и предложений потребителей.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Субъект розничной торговли вправе утверждать стандартные операционные процедуры применительно к иным действиям, влияющим на качество, эффективность и безопасность лекарственных препаратов.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16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r>
        <w:t>16. В стандартных операционных процедурах должны быть описаны: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учет данных при выполнении стандартных операционных процедур (включая составление актов, ведение журналов);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осуществление анализа стандартных операционных процедур;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установление причин нарушения стандартных операционных процедур.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17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r>
        <w:t>17. Стандартная операционная процедура по выбору поставщика должна обеспечивать проверку субъектом розничной торговли: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наличия у поставщика лицензии на осуществление фармацевтической деятельности в сфере обращения лекарственных средств для ветеринарного применения с указанием выполняемых работ, оказываемых услуг или лицензии на производство лекарственных средств для ветеринарного применения с указанием перечня работ;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соблюдения поставщиком сроков и условий поставки лекарственных препаратов, в том числе условий хранения лекарственных препаратов, установленных инструкциями по ветеринарному применению лекарственных препаратов.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18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r>
        <w:t>18. Стандартная операционная процедура по приемке лекарственных препаратов (далее - приемочный контроль) должна предусматривать: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проверку количества поставленных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проверку наличия документа, подтверждающего качество и безопасность лекарственного препарата, выдаваемого производителем лекарственного препарата &lt;1&gt;, или копии указанного документа;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&lt;1&gt; В соответствии с </w:t>
      </w:r>
      <w:hyperlink r:id="rId11" w:history="1">
        <w:r>
          <w:rPr>
            <w:color w:val="0000FF"/>
          </w:rPr>
          <w:t>пунктом 3.13</w:t>
        </w:r>
      </w:hyperlink>
      <w:r>
        <w:t xml:space="preserve"> Положения о едином порядке осуществления ветеринарного контроля (надзора) на таможенной границе Евразийского экономического союза и на таможенной территории Евразийского экономического союза, утвержденного Решением Комиссии Таможенного союза от 18 июня 2010 г. N 317 (официальный сайт Комиссии Таможенного союза http://www.tsouz.ru, 30 июня 2010 г.), с изменениями, внесенными решениями Совета Евразийской экономической комиссии от 9 октября 2014 г. N 95 (официальный сайт Евразийской экономической комиссии http://www.eurasiancommission.org, 14 октября 2014 г.) и от 23 ноября 2015 г. N 93 (официальный сайт Евразийского экономического союза http://www.eaeunion.org, 5 июля 2016 г.), являющимся обязательным для Российской Федерации в соответствии с </w:t>
      </w:r>
      <w:hyperlink r:id="rId12" w:history="1">
        <w:r>
          <w:rPr>
            <w:color w:val="0000FF"/>
          </w:rPr>
          <w:t>Договором</w:t>
        </w:r>
      </w:hyperlink>
      <w:r>
        <w:t xml:space="preserve"> о Евразийском экономическом союзе от 29 мая 2014 г., ратифицированным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3 октября 2014 г. N 279-ФЗ "О ратификации Договора о Евразийском экономическом союзе" (Собрание законодательства Российской Федерации, 2014, N 40, ст. 5310) (далее - Положение).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>в) проверку соответствия лекарственных препаратов сведениям, указанным в транспортных и сопроводительных документах;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осуществление приемки лекарственных препаратов лицом, уполномоченным субъектом розничной торговли.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19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bookmarkStart w:id="5" w:name="P111"/>
      <w:bookmarkEnd w:id="5"/>
      <w:r>
        <w:t>19. Приемочный контроль заключается в проверке поступающих лекарственных препаратов путем визуальной оценки: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наименования и количества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б) внешнего вида, цвета, запаха (если применимо);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в) целостности упаковки;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соответствия маркировки лекарственных препаратов требованиям, установленным законодательством Российской Федерации об обращении лекарственных средств;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д) срока годности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е) наличия документа, подтверждающего качество и безопасность лекарственного препарата, выдаваемого производителем лекарственного препарата &lt;2&gt;, или копии указанного документа.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&lt;2&gt; В соответствии с </w:t>
      </w:r>
      <w:hyperlink r:id="rId14" w:history="1">
        <w:r>
          <w:rPr>
            <w:color w:val="0000FF"/>
          </w:rPr>
          <w:t>пунктом 3.13</w:t>
        </w:r>
      </w:hyperlink>
      <w:r>
        <w:t xml:space="preserve"> Положения.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>20. Лекарственные препараты до подачи в зону и (или) помещение, предназначенные для торговли лекарственными препаратами, должны пройти распаковку, рассортировку, осмотр, а также проверку качества лекарственных препаратов (по внешним признакам) и наличия информации о них, их поставщике и производителе.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21. Отпуск лекарственного препарата осуществляется в первичной и вторичной (потребительской) упаковках, маркировка которых должна соответствовать требованиям </w:t>
      </w:r>
      <w:hyperlink r:id="rId15" w:history="1">
        <w:r>
          <w:rPr>
            <w:color w:val="0000FF"/>
          </w:rPr>
          <w:t>статьи 46</w:t>
        </w:r>
      </w:hyperlink>
      <w:r>
        <w:t xml:space="preserve"> Федерального закона от 12 апреля 2010 г. N 61-ФЗ "Об обращении лекарственных средств".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Нарушение первичной упаковки лекарственного препарата при его отпуске запрещается.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Нарушение вторичной (потребительской) упаковки лекарственного препарата и отпуск лекарственного препарата в первичной упаковке допускаются в случае, если количество лекарственного препарата, указанное в рецепте или необходимое потребителю (при отпуске лекарственного препарата без рецепта), меньше количества лекарственного препарата, содержащегося во вторичной (потребительской) упаковке. В указанном случае при отпуске лекарственного препарата потребителю предоставляется инструкция по ветеринарному применению лекарственного препарата или ее копия.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22. При отпуске лекарственного препарата по просьбе потребителя аптечный работник информирует его о режиме и дозах приема лекарственного препарата, условиях хранения, взаимодействии с другими лекарственными препаратами.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23. При отпуске лекарственного препарата аптечный работник должен предоставлять </w:t>
      </w:r>
      <w:r>
        <w:lastRenderedPageBreak/>
        <w:t>информацию о наличии лекарственных препаратов. По просьбе потребителя аптечный работник должен предоставлять информацию о наличии лекарственных препаратов, имеющих одинаковое международное непатентованное наименование, в том числе о наличии лекарственных препаратов, имеющих более низкую цену.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24. Запрещается отпуск фальсифицированных, недоброкачественных и контрафактных лекарственных препаратов. &lt;3&gt;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Статья 57</w:t>
        </w:r>
      </w:hyperlink>
      <w:r>
        <w:t xml:space="preserve"> Федерального закона от 12 апреля 2010 г. N 61-ФЗ "Об обращении лекарственных средств".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ind w:firstLine="540"/>
        <w:jc w:val="both"/>
      </w:pPr>
      <w:r>
        <w:t>25. Отпуск лекарственных препаратов по рецепту осуществляется в течение указанного в рецепте срока его действия в количествах, указанных в рецепте.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26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bookmarkStart w:id="6" w:name="P134"/>
      <w:bookmarkEnd w:id="6"/>
      <w:r>
        <w:t>26. Стандартная операционная процедура по изъятию из обращения фальсифицированных, недоброкачественных, контрафактных лекарственных препаратов и уничтожению таких препаратов должна обеспечивать: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а) идентификацию лекарственных препаратов, не соответствующих требованиям нормативного документа, в целях предотвращения их продажи;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б) соблюдение требований правил хранения лекарственных средств, утверждаемых Минсельхозом России в соответствии со </w:t>
      </w:r>
      <w:hyperlink r:id="rId17" w:history="1">
        <w:r>
          <w:rPr>
            <w:color w:val="0000FF"/>
          </w:rPr>
          <w:t>статьей 58</w:t>
        </w:r>
      </w:hyperlink>
      <w:r>
        <w:t xml:space="preserve"> Федерального закона от 12 апреля 2010 г. N 61-ФЗ "Об обращении лекарственных средств", в части хранения фальсифицированных, недоброкачественных, контрафактных лекарственных препаратов;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 xml:space="preserve">в) соблюдение порядка действий по изъятию из обращения и уничтожению фальсифицированных, недоброкачественных, контрафактных лекарственных препаратов в соответствии с </w:t>
      </w:r>
      <w:hyperlink r:id="rId18" w:history="1">
        <w:r>
          <w:rPr>
            <w:color w:val="0000FF"/>
          </w:rPr>
          <w:t>Правилами</w:t>
        </w:r>
      </w:hyperlink>
      <w:r>
        <w:t xml:space="preserve"> уничтожения изъятых фальсифицированных лекарственных средств, недоброкачественных лекарственных средств и контрафактных лекарственных средств, утвержденных постановлением Правительства Российской Федерации от 15 сентября 2020 г. N 1447 (Официальный интернет-портал правовой информации http://www.pravo.gov.ru, 21 сентября 2020 г.);</w:t>
      </w:r>
    </w:p>
    <w:p w:rsidR="00D57819" w:rsidRDefault="00D57819">
      <w:pPr>
        <w:pStyle w:val="ConsPlusNormal"/>
        <w:spacing w:before="220"/>
        <w:ind w:firstLine="540"/>
        <w:jc w:val="both"/>
      </w:pPr>
      <w:r>
        <w:t>г) установление причин поступления, хранения и реализации субъектом розничной торговли недоброкачественных, контрафактных, фальсифицированных лекарственных препаратов и принятие предупреждающих мер.</w:t>
      </w:r>
    </w:p>
    <w:p w:rsidR="00D57819" w:rsidRDefault="00D5781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5781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57819" w:rsidRDefault="00D57819">
            <w:pPr>
              <w:pStyle w:val="ConsPlusNormal"/>
              <w:jc w:val="both"/>
            </w:pPr>
            <w:r>
              <w:rPr>
                <w:color w:val="392C69"/>
              </w:rPr>
              <w:t xml:space="preserve">П. 27 </w:t>
            </w:r>
            <w:hyperlink w:anchor="P1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01.03.2022.</w:t>
            </w:r>
          </w:p>
        </w:tc>
      </w:tr>
    </w:tbl>
    <w:p w:rsidR="00D57819" w:rsidRDefault="00D57819">
      <w:pPr>
        <w:pStyle w:val="ConsPlusNormal"/>
        <w:spacing w:before="280"/>
        <w:ind w:firstLine="540"/>
        <w:jc w:val="both"/>
      </w:pPr>
      <w:bookmarkStart w:id="7" w:name="P141"/>
      <w:bookmarkEnd w:id="7"/>
      <w:r>
        <w:t>27. Стандартная операционная процедура по рассмотрению жалоб и предложений потребителей (далее - жалоба) должна обеспечивать рассмотрение жалоб, их анализ и принятие по ним решений.</w:t>
      </w: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jc w:val="both"/>
      </w:pPr>
    </w:p>
    <w:p w:rsidR="00D57819" w:rsidRDefault="00D5781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25BE" w:rsidRDefault="00AC25BE"/>
    <w:sectPr w:rsidR="00AC25BE" w:rsidSect="00BC4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819"/>
    <w:rsid w:val="00AC25BE"/>
    <w:rsid w:val="00D5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432AB-EB6E-4A5E-BEB3-3725C018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78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78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78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5D0A9AFE16A4A4FCF987DB725E64DB048B9B95DB9029EB368B9DEB53818BC27F3685E1A8E795F9A76360E8B0x2RFX" TargetMode="External"/><Relationship Id="rId13" Type="http://schemas.openxmlformats.org/officeDocument/2006/relationships/hyperlink" Target="consultantplus://offline/ref=615D0A9AFE16A4A4FCF987DB725E64DB068B9490DE9129EB368B9DEB53818BC27F3685E1A8E795F9A76360E8B0x2RFX" TargetMode="External"/><Relationship Id="rId18" Type="http://schemas.openxmlformats.org/officeDocument/2006/relationships/hyperlink" Target="consultantplus://offline/ref=615D0A9AFE16A4A4FCF987DB725E64DB048B9F92DB9029EB368B9DEB53818BC26D36DDEDA9E78BF9AC7636B9F67BB12AAF353380615E321Ax6R6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5D0A9AFE16A4A4FCF987DB725E64DB048A9E97D69829EB368B9DEB53818BC26D36DDEDA9E789FAA17636B9F67BB12AAF353380615E321Ax6R6X" TargetMode="External"/><Relationship Id="rId12" Type="http://schemas.openxmlformats.org/officeDocument/2006/relationships/hyperlink" Target="consultantplus://offline/ref=615D0A9AFE16A4A4FCF987DB725E64DB048A9F95DA9529EB368B9DEB53818BC27F3685E1A8E795F9A76360E8B0x2RFX" TargetMode="External"/><Relationship Id="rId17" Type="http://schemas.openxmlformats.org/officeDocument/2006/relationships/hyperlink" Target="consultantplus://offline/ref=615D0A9AFE16A4A4FCF987DB725E64DB0488989CDC9729EB368B9DEB53818BC26D36DDEDA9E78DFAA37636B9F67BB12AAF353380615E321Ax6R6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15D0A9AFE16A4A4FCF987DB725E64DB0488989CDC9729EB368B9DEB53818BC26D36DDEDA9E78DFAA17636B9F67BB12AAF353380615E321Ax6R6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5D0A9AFE16A4A4FCF987DB725E64DB0488989CDC9729EB368B9DEB53818BC26D36DDE9A9E480ADF43937E5B32EA22BAD3531827Dx5RDX" TargetMode="External"/><Relationship Id="rId11" Type="http://schemas.openxmlformats.org/officeDocument/2006/relationships/hyperlink" Target="consultantplus://offline/ref=615D0A9AFE16A4A4FCF987DB725E64DB048A9D90D99229EB368B9DEB53818BC26D36DDEFA8E388F2F12C26BDBF2FBC35AF292D807F5Ex3R3X" TargetMode="External"/><Relationship Id="rId5" Type="http://schemas.openxmlformats.org/officeDocument/2006/relationships/hyperlink" Target="consultantplus://offline/ref=615D0A9AFE16A4A4FCF987DB725E64DB0488989CDC9729EB368B9DEB53818BC26D36DDEDAEE480ADF43937E5B32EA22BAD3531827Dx5RDX" TargetMode="External"/><Relationship Id="rId15" Type="http://schemas.openxmlformats.org/officeDocument/2006/relationships/hyperlink" Target="consultantplus://offline/ref=615D0A9AFE16A4A4FCF987DB725E64DB0488989CDC9729EB368B9DEB53818BC26D36DDEDA9E78EFCA37636B9F67BB12AAF353380615E321Ax6R6X" TargetMode="External"/><Relationship Id="rId10" Type="http://schemas.openxmlformats.org/officeDocument/2006/relationships/hyperlink" Target="consultantplus://offline/ref=615D0A9AFE16A4A4FCF987DB725E64DB0488989CDC9729EB368B9DEB53818BC26D36DDEDA9E78DFAA37636B9F67BB12AAF353380615E321Ax6R6X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15D0A9AFE16A4A4FCF987DB725E64DB048B9490DC9229EB368B9DEB53818BC26D36DDEDA9E78BF8A27636B9F67BB12AAF353380615E321Ax6R6X" TargetMode="External"/><Relationship Id="rId14" Type="http://schemas.openxmlformats.org/officeDocument/2006/relationships/hyperlink" Target="consultantplus://offline/ref=615D0A9AFE16A4A4FCF987DB725E64DB048A9D90D99229EB368B9DEB53818BC26D36DDEFA8E388F2F12C26BDBF2FBC35AF292D807F5Ex3R3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3035</Words>
  <Characters>17304</Characters>
  <Application>Microsoft Office Word</Application>
  <DocSecurity>0</DocSecurity>
  <Lines>144</Lines>
  <Paragraphs>40</Paragraphs>
  <ScaleCrop>false</ScaleCrop>
  <Company/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Цимбалист Наталья Владимировна</dc:creator>
  <cp:keywords/>
  <dc:description/>
  <cp:lastModifiedBy>Цимбалист Наталья Владимировна</cp:lastModifiedBy>
  <cp:revision>2</cp:revision>
  <dcterms:created xsi:type="dcterms:W3CDTF">2021-02-09T23:17:00Z</dcterms:created>
  <dcterms:modified xsi:type="dcterms:W3CDTF">2021-02-09T23:19:00Z</dcterms:modified>
</cp:coreProperties>
</file>